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/>
      <w:hyperlink r:id="rId3" w:history="1">
        <w:r>
          <w:rPr>
            <w:rStyle w:val="Hyperlink"/>
          </w:rPr>
          <w:t xml:space="preserve">← Voltar ao menu do Projeto Piraju</w:t>
        </w:r>
      </w:hyperlink>
    </w:p>
    <w:p>
      <w:pPr>
        <w:pStyle w:val="Heading1"/>
      </w:pPr>
      <w:r>
        <w:t xml:space="preserve">BrandScript Piraju · StoryBrand</w:t>
      </w:r>
    </w:p>
    <w:p>
      <w:pPr/>
      <w:r>
        <w:t xml:space="preserve">Oct 10, 2026</w:t>
      </w:r>
      <w:r>
        <w:t xml:space="preserve"> · </w:t>
      </w:r>
      <w:r>
        <w:t xml:space="preserve">@Thiago Cavalcante</w:t>
      </w:r>
    </w:p>
    <w:p>
      <w:pPr>
        <w:pStyle w:val="Heading2"/>
      </w:pPr>
      <w:r>
        <w:t xml:space="preserve">Como ler este BrandScript</w:t>
      </w:r>
    </w:p>
    <w:p>
      <w:pPr/>
      <w:r>
        <w:t xml:space="preserve">No método StoryBrand (Donald Miller), a marca não é o herói da história; o cliente é. A marca é o guia: aquele que entende o problema do herói, tem autoridade para ajudá-lo, entrega um plano simples, chama à ação e mostra o que está em jogo. Toda a comunicação da Piraju, do site à mensagem de LinkedIn, passa a seguir esse roteiro de sete partes.</w:t>
      </w:r>
    </w:p>
    <w:p>
      <w:pPr/>
      <w:r>
        <w:t xml:space="preserve">A Piraju tem quatro públicos, e cada um é herói de uma história diferente. O roteiro principal é o do </w:t>
      </w:r>
      <w:r>
        <w:rPr>
          <w:b/>
        </w:rPr>
        <w:t xml:space="preserve">investidor estrangeiro</w:t>
      </w:r>
      <w:r>
        <w:t xml:space="preserve">, prioridade definida no plano da pesquisa; as variações para licenciado, parceiro de distribuição e patrocinador mudam o personagem, o problema e o sucesso, mas mantêm o mesmo guia e o mesmo plano em duas etapas. Tudo aqui deriva das rodadas da pesquisa de mercado (personas, JTBD e proposta de valor) e dos documentos da Piraju; nenhum número ou promessa foi acrescentado.</w:t>
      </w:r>
    </w:p>
    <w:p>
      <w:pPr>
        <w:pStyle w:val="Heading2"/>
      </w:pPr>
      <w:r>
        <w:t xml:space="preserve">BrandScript principal · o investidor</w:t>
      </w:r>
    </w:p>
    <w:p>
      <w:pPr/>
      <w:r>
        <w:rPr>
          <w:b/>
        </w:rPr>
        <w:t xml:space="preserve">1. Um personagem.</w:t>
      </w:r>
      <w:r>
        <w:t xml:space="preserve"> Um gestor de fundo ou family office estrangeiro que quer entrar em negócios financeiros e de pagamento no Brasil, com câmbio favorável, sem passar anos construindo uma operação do zero. O que ele quer: um ativo real, pronto, com governança clara e alguém confiável operando.</w:t>
      </w:r>
    </w:p>
    <w:p>
      <w:pPr/>
      <w:r>
        <w:rPr>
          <w:b/>
        </w:rPr>
        <w:t xml:space="preserve">2. Tem um problema.</w:t>
      </w:r>
    </w:p>
    <w:p>
      <w:pPr>
        <w:pStyle w:val="ListParagraph"/>
        <w:numPr>
          <w:ilvl w:val="0"/>
          <w:numId w:val="2"/>
        </w:numPr>
      </w:pPr>
      <w:r>
        <w:rPr>
          <w:i/>
        </w:rPr>
        <w:t xml:space="preserve">Vilão:</w:t>
      </w:r>
      <w:r>
        <w:t xml:space="preserve"> o tempo e a incerteza de construir no Brasil: autorizações, equipe local, regulação que ele não domina.</w:t>
      </w:r>
    </w:p>
    <w:p>
      <w:pPr>
        <w:pStyle w:val="ListParagraph"/>
        <w:numPr>
          <w:ilvl w:val="0"/>
          <w:numId w:val="2"/>
        </w:numPr>
      </w:pPr>
      <w:r>
        <w:rPr>
          <w:i/>
        </w:rPr>
        <w:t xml:space="preserve">Externo:</w:t>
      </w:r>
      <w:r>
        <w:t xml:space="preserve"> não tem como avaliar e operar um negócio brasileiro sem estrutura local; as alternativas (venture capital, desenvolver internamente, comprar empresa operando) custam anos ou exigem controle que ele não tem.</w:t>
      </w:r>
    </w:p>
    <w:p>
      <w:pPr>
        <w:pStyle w:val="ListParagraph"/>
        <w:numPr>
          <w:ilvl w:val="0"/>
          <w:numId w:val="2"/>
        </w:numPr>
      </w:pPr>
      <w:r>
        <w:rPr>
          <w:i/>
        </w:rPr>
        <w:t xml:space="preserve">Interno:</w:t>
      </w:r>
      <w:r>
        <w:t xml:space="preserve"> já perdeu dinheiro em mercado emergente por falha de governança, não de tese; teme repetir. Quer apresentar ao comitê uma tese própria sem parecer imprudente.</w:t>
      </w:r>
    </w:p>
    <w:p>
      <w:pPr>
        <w:pStyle w:val="ListParagraph"/>
        <w:numPr>
          <w:ilvl w:val="0"/>
          <w:numId w:val="2"/>
        </w:numPr>
      </w:pPr>
      <w:r>
        <w:rPr>
          <w:i/>
        </w:rPr>
        <w:t xml:space="preserve">Filosófico:</w:t>
      </w:r>
      <w:r>
        <w:t xml:space="preserve"> quem tem capital e disposição para investir num país não deveria ser punido pela burocracia de entrar nele. Entrar num mercado deveria ser uma decisão, não uma obra.</w:t>
      </w:r>
    </w:p>
    <w:p>
      <w:pPr/>
      <w:r>
        <w:rPr>
          <w:b/>
        </w:rPr>
        <w:t xml:space="preserve">3. E encontra um guia.</w:t>
      </w:r>
    </w:p>
    <w:p>
      <w:pPr>
        <w:pStyle w:val="ListParagraph"/>
        <w:numPr>
          <w:ilvl w:val="0"/>
          <w:numId w:val="3"/>
        </w:numPr>
      </w:pPr>
      <w:r>
        <w:rPr>
          <w:i/>
        </w:rPr>
        <w:t xml:space="preserve">Empatia:</w:t>
      </w:r>
      <w:r>
        <w:t xml:space="preserve"> "Sabemos que a pergunta não é se o Brasil vale a pena, mas quem vai operar, como se sai e o que a lei permite. Por isso cada projeto chega com essas respostas."</w:t>
      </w:r>
    </w:p>
    <w:p>
      <w:pPr>
        <w:pStyle w:val="ListParagraph"/>
        <w:numPr>
          <w:ilvl w:val="0"/>
          <w:numId w:val="3"/>
        </w:numPr>
      </w:pPr>
      <w:r>
        <w:rPr>
          <w:i/>
        </w:rPr>
        <w:t xml:space="preserve">Autoridade:</w:t>
      </w:r>
      <w:r>
        <w:t xml:space="preserve"> 40 anos de pesquisa, desenvolvimento e inovação; sete projetos com propriedade intelectual, marcas e software registrados; assessoria jurídica e tributária validada por escritórios de advocacia; laudos de viabilidade; projetos já lançados e testados no mercado nacional; operação formatada em conformidade com o Banco Central do Brasil.</w:t>
      </w:r>
    </w:p>
    <w:p>
      <w:pPr/>
      <w:r>
        <w:rPr>
          <w:b/>
        </w:rPr>
        <w:t xml:space="preserve">4. Que lhe dá um plano.</w:t>
      </w:r>
    </w:p>
    <w:p>
      <w:pPr>
        <w:pStyle w:val="ListParagraph"/>
        <w:numPr>
          <w:ilvl w:val="0"/>
          <w:numId w:val="4"/>
        </w:numPr>
      </w:pPr>
      <w:r>
        <w:rPr>
          <w:i/>
        </w:rPr>
        <w:t xml:space="preserve">Processo, em três passos:</w:t>
      </w:r>
      <w:r>
        <w:t xml:space="preserve"> (1) receba o Sumário Executivo; (2) assine o NDA e analise o detalhamento, os dados financeiros e a due diligence; (3) escolha o projeto e entre com registro RDE-IED no Banco Central.</w:t>
      </w:r>
    </w:p>
    <w:p>
      <w:pPr>
        <w:pStyle w:val="ListParagraph"/>
        <w:numPr>
          <w:ilvl w:val="0"/>
          <w:numId w:val="4"/>
        </w:numPr>
      </w:pPr>
      <w:r>
        <w:rPr>
          <w:i/>
        </w:rPr>
        <w:t xml:space="preserve">Acordo:</w:t>
      </w:r>
      <w:r>
        <w:t xml:space="preserve"> a Piraju não promete retorno, proteção patrimonial nem autorização garantida; informa o status regulatório de cada projeto, mantém o time que construiu o projeto na operação e assume a interlocução com os órgãos reguladores.</w:t>
      </w:r>
    </w:p>
    <w:p>
      <w:pPr/>
      <w:r>
        <w:rPr>
          <w:b/>
        </w:rPr>
        <w:t xml:space="preserve">5. E o chama à ação.</w:t>
      </w:r>
    </w:p>
    <w:p>
      <w:pPr>
        <w:pStyle w:val="ListParagraph"/>
        <w:numPr>
          <w:ilvl w:val="0"/>
          <w:numId w:val="5"/>
        </w:numPr>
      </w:pPr>
      <w:r>
        <w:rPr>
          <w:i/>
        </w:rPr>
        <w:t xml:space="preserve">Direta:</w:t>
      </w:r>
      <w:r>
        <w:t xml:space="preserve"> "Solicitar o Sumário Executivo" / "Agendar reunião de apresentação".</w:t>
      </w:r>
    </w:p>
    <w:p>
      <w:pPr>
        <w:pStyle w:val="ListParagraph"/>
        <w:numPr>
          <w:ilvl w:val="0"/>
          <w:numId w:val="5"/>
        </w:numPr>
      </w:pPr>
      <w:r>
        <w:rPr>
          <w:i/>
        </w:rPr>
        <w:t xml:space="preserve">Transitória:</w:t>
      </w:r>
      <w:r>
        <w:t xml:space="preserve"> "Ver os sete projetos" / "Entender como funciona a entrada por RDE-IED".</w:t>
      </w:r>
    </w:p>
    <w:p>
      <w:pPr/>
      <w:r>
        <w:rPr>
          <w:b/>
        </w:rPr>
        <w:t xml:space="preserve">6. Que o ajuda a evitar o fracasso.</w:t>
      </w:r>
      <w:r>
        <w:t xml:space="preserve"> Ficar de fora enquanto o câmbio favorece; gastar anos e capital construindo o que já existe; entrar sem governança e repetir a perda anterior; comprar uma participação numa promessa em vez de um negócio pronto.</w:t>
      </w:r>
    </w:p>
    <w:p>
      <w:pPr/>
      <w:r>
        <w:rPr>
          <w:b/>
        </w:rPr>
        <w:t xml:space="preserve">7. E termina em sucesso.</w:t>
      </w:r>
      <w:r>
        <w:t xml:space="preserve"> Um portfólio de negócios prontos no Brasil, comprado em moeda forte, registrado em seu nome no Banco Central, operado pelo time que o construiu, com uma tese própria que o comitê entende e aprova. Transformação: de observador cauteloso do Brasil a investidor com operação própria no país.</w:t>
      </w:r>
    </w:p>
    <w:p>
      <w:pPr>
        <w:pStyle w:val="Heading2"/>
      </w:pPr>
      <w:r>
        <w:t xml:space="preserve">One-liner</w:t>
      </w:r>
    </w:p>
    <w:p>
      <w:pPr/>
      <w:r>
        <w:t xml:space="preserve">A fórmula do StoryBrand é problema → solução → resultado, em uma frase que qualquer pessoa da Piraju consegue repetir.</w:t>
      </w:r>
    </w:p>
    <w:p>
      <w:pPr/>
      <w:r>
        <w:rPr>
          <w:b/>
        </w:rPr>
        <w:t xml:space="preserve">Principal (marca):</w:t>
      </w:r>
      <w:r>
        <w:t xml:space="preserve"> Entrar em negócios financeiros no Brasil costuma levar anos de estrutura, autorizações e incerteza. A Piraju entrega projetos prontos para operar, com propriedade intelectual registrada e o time que os construiu, para que investidores, licenciados e parceiros comecem em meses, com a regulação do lado certo.</w:t>
      </w:r>
    </w:p>
    <w:p>
      <w:pPr/>
      <w:r>
        <w:rPr>
          <w:b/>
        </w:rPr>
        <w:t xml:space="preserve">Curta (assinatura):</w:t>
      </w:r>
      <w:r>
        <w:t xml:space="preserve"> Projetos prontos para operar no Brasil, com a regulação do lado certo.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4680"/>
        <w:gridCol w:w="4680"/>
      </w:tblGrid>
      <w:tr>
        <w:trPr>
          <w:tblHeader/>
        </w:trPr>
        <w:tc>
          <w:tcPr>
            <w:tcW w:w="4680" w:type="dxa"/>
            <w:shd w:val="clear" w:color="auto" w:fill="F2F2F2"/>
          </w:tcPr>
          <w:p>
            <w:pPr/>
            <w:r>
              <w:t xml:space="preserve">Público</w:t>
            </w:r>
          </w:p>
        </w:tc>
        <w:tc>
          <w:tcPr>
            <w:tcW w:w="4680" w:type="dxa"/>
            <w:shd w:val="clear" w:color="auto" w:fill="F2F2F2"/>
          </w:tcPr>
          <w:p>
            <w:pPr/>
            <w:r>
              <w:t xml:space="preserve">One-liner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Investidor</w:t>
            </w:r>
          </w:p>
        </w:tc>
        <w:tc>
          <w:tcPr>
            <w:tcW w:w="4680" w:type="dxa"/>
          </w:tcPr>
          <w:p>
            <w:pPr/>
            <w:r>
              <w:t xml:space="preserve">Investir no Brasil não deveria exigir anos construindo do zero. A Piraju entrega sete negócios prontos, registrados e operados pelo time que os criou, para que você entre em meses, em moeda forte, com registro no Banco Central.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Licenciado</w:t>
            </w:r>
          </w:p>
        </w:tc>
        <w:tc>
          <w:tcPr>
            <w:tcW w:w="4680" w:type="dxa"/>
          </w:tcPr>
          <w:p>
            <w:pPr/>
            <w:r>
              <w:t xml:space="preserve">Ter um negócio financeiro próprio costuma significar revender produto dos outros por comissão. A Piraju licencia projetos com marca, software e conformidade prontos, para que você opere algo seu, com método e suporte.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Parceiro de distribuição</w:t>
            </w:r>
          </w:p>
        </w:tc>
        <w:tc>
          <w:tcPr>
            <w:tcW w:w="4680" w:type="dxa"/>
          </w:tcPr>
          <w:p>
            <w:pPr/>
            <w:r>
              <w:t xml:space="preserve">Sua base de clientes vale mais do que a receita que gera hoje, mas cada ideia esbarra em risco e capex. A Piraju ativa um projeto pronto sobre a sua base, sem investimento seu e com a responsabilidade regulatória do nosso lado.</w:t>
            </w:r>
          </w:p>
        </w:tc>
      </w:tr>
      <w:tr>
        <w:tc>
          <w:tcPr>
            <w:tcW w:w="4680" w:type="dxa"/>
          </w:tcPr>
          <w:p>
            <w:pPr/>
            <w:r>
              <w:t xml:space="preserve">Patrocinador</w:t>
            </w:r>
          </w:p>
        </w:tc>
        <w:tc>
          <w:tcPr>
            <w:tcW w:w="4680" w:type="dxa"/>
          </w:tcPr>
          <w:p>
            <w:pPr/>
            <w:r>
              <w:t xml:space="preserve">Toda promoção corre contra o prazo de autorização e parece igual à do concorrente. A Piraju entrega uma mecânica pronta, autorizável na SPA/MF no prazo, testada em pequeno antes do grande.</w:t>
            </w:r>
          </w:p>
        </w:tc>
      </w:tr>
    </w:tbl>
    <w:p>
      <w:pPr>
        <w:pStyle w:val="Heading2"/>
      </w:pPr>
      <w:r>
        <w:t xml:space="preserve">Variações do roteiro</w:t>
      </w:r>
    </w:p>
    <w:p>
      <w:pPr/>
      <w:r>
        <w:t xml:space="preserve">O guia (empatia e autoridade) e o plano (material, NDA, contrato) são os mesmos do roteiro principal; mudam o herói, o problema, a chamada e o que está em jogo.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Elemento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Licenciado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Parceiro de distribuição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Patrocinador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Personagem</w:t>
            </w:r>
          </w:p>
        </w:tc>
        <w:tc>
          <w:tcPr>
            <w:tcW w:w="2340" w:type="dxa"/>
          </w:tcPr>
          <w:p>
            <w:pPr/>
            <w:r>
              <w:t xml:space="preserve">Profissional com reserva e carteira que quer um negócio financeiro com método</w:t>
            </w:r>
          </w:p>
        </w:tc>
        <w:tc>
          <w:tcPr>
            <w:tcW w:w="2340" w:type="dxa"/>
          </w:tcPr>
          <w:p>
            <w:pPr/>
            <w:r>
              <w:t xml:space="preserve">Executivo de concessionária, operadora ou banco com meta de receita acessória</w:t>
            </w:r>
          </w:p>
        </w:tc>
        <w:tc>
          <w:tcPr>
            <w:tcW w:w="2340" w:type="dxa"/>
          </w:tcPr>
          <w:p>
            <w:pPr/>
            <w:r>
              <w:t xml:space="preserve">Gerente de trade ou marketing que roda campanhas o ano todo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Vilão</w:t>
            </w:r>
          </w:p>
        </w:tc>
        <w:tc>
          <w:tcPr>
            <w:tcW w:w="2340" w:type="dxa"/>
          </w:tcPr>
          <w:p>
            <w:pPr/>
            <w:r>
              <w:t xml:space="preserve">A revenda por comissão sem marca própria</w:t>
            </w:r>
          </w:p>
        </w:tc>
        <w:tc>
          <w:tcPr>
            <w:tcW w:w="2340" w:type="dxa"/>
          </w:tcPr>
          <w:p>
            <w:pPr/>
            <w:r>
              <w:t xml:space="preserve">O risco à marca e o capex que travam toda ideia</w:t>
            </w:r>
          </w:p>
        </w:tc>
        <w:tc>
          <w:tcPr>
            <w:tcW w:w="2340" w:type="dxa"/>
          </w:tcPr>
          <w:p>
            <w:pPr/>
            <w:r>
              <w:t xml:space="preserve">O prazo de autorização e a mecânica igual à de todos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Problema externo</w:t>
            </w:r>
          </w:p>
        </w:tc>
        <w:tc>
          <w:tcPr>
            <w:tcW w:w="2340" w:type="dxa"/>
          </w:tcPr>
          <w:p>
            <w:pPr/>
            <w:r>
              <w:t xml:space="preserve">Não tem produto próprio nem software; depende de bancos terceiros</w:t>
            </w:r>
          </w:p>
        </w:tc>
        <w:tc>
          <w:tcPr>
            <w:tcW w:w="2340" w:type="dxa"/>
          </w:tcPr>
          <w:p>
            <w:pPr/>
            <w:r>
              <w:t xml:space="preserve">Tem base de usuários e não a monetiza</w:t>
            </w:r>
          </w:p>
        </w:tc>
        <w:tc>
          <w:tcPr>
            <w:tcW w:w="2340" w:type="dxa"/>
          </w:tcPr>
          <w:p>
            <w:pPr/>
            <w:r>
              <w:t xml:space="preserve">Precisa de campanha autorizada e diferente a cada data comercial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Problema interno</w:t>
            </w:r>
          </w:p>
        </w:tc>
        <w:tc>
          <w:tcPr>
            <w:tcW w:w="2340" w:type="dxa"/>
          </w:tcPr>
          <w:p>
            <w:pPr/>
            <w:r>
              <w:t xml:space="preserve">Medo de errar com a reserva; quer ser empresária, não revendedora</w:t>
            </w:r>
          </w:p>
        </w:tc>
        <w:tc>
          <w:tcPr>
            <w:tcW w:w="2340" w:type="dxa"/>
          </w:tcPr>
          <w:p>
            <w:pPr/>
            <w:r>
              <w:t xml:space="preserve">Medo de se expor; quer defender o projeto na diretoria sem receio</w:t>
            </w:r>
          </w:p>
        </w:tc>
        <w:tc>
          <w:tcPr>
            <w:tcW w:w="2340" w:type="dxa"/>
          </w:tcPr>
          <w:p>
            <w:pPr/>
            <w:r>
              <w:t xml:space="preserve">Cansou de explicar atrasos de fornecedor ao diretor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Problema filosófico</w:t>
            </w:r>
          </w:p>
        </w:tc>
        <w:tc>
          <w:tcPr>
            <w:tcW w:w="2340" w:type="dxa"/>
          </w:tcPr>
          <w:p>
            <w:pPr/>
            <w:r>
              <w:t xml:space="preserve">Quem opera um negócio deveria ser dono dele</w:t>
            </w:r>
          </w:p>
        </w:tc>
        <w:tc>
          <w:tcPr>
            <w:tcW w:w="2340" w:type="dxa"/>
          </w:tcPr>
          <w:p>
            <w:pPr/>
            <w:r>
              <w:t xml:space="preserve">Uma base construída com esforço deveria gerar valor sem risco novo</w:t>
            </w:r>
          </w:p>
        </w:tc>
        <w:tc>
          <w:tcPr>
            <w:tcW w:w="2340" w:type="dxa"/>
          </w:tcPr>
          <w:p>
            <w:pPr/>
            <w:r>
              <w:t xml:space="preserve">Uma boa campanha não deveria morrer na burocracia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Empatia do guia</w:t>
            </w:r>
          </w:p>
        </w:tc>
        <w:tc>
          <w:tcPr>
            <w:tcW w:w="2340" w:type="dxa"/>
          </w:tcPr>
          <w:p>
            <w:pPr/>
            <w:r>
              <w:t xml:space="preserve">"Sabemos o que custa começar com produto dos outros"</w:t>
            </w:r>
          </w:p>
        </w:tc>
        <w:tc>
          <w:tcPr>
            <w:tcW w:w="2340" w:type="dxa"/>
          </w:tcPr>
          <w:p>
            <w:pPr/>
            <w:r>
              <w:t xml:space="preserve">"Sabemos que cada ideia nova passa pelo jurídico antes de passar pela diretoria"</w:t>
            </w:r>
          </w:p>
        </w:tc>
        <w:tc>
          <w:tcPr>
            <w:tcW w:w="2340" w:type="dxa"/>
          </w:tcPr>
          <w:p>
            <w:pPr/>
            <w:r>
              <w:t xml:space="preserve">"Sabemos que o calendário comercial não espera a autorização"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Plano</w:t>
            </w:r>
          </w:p>
        </w:tc>
        <w:tc>
          <w:tcPr>
            <w:tcW w:w="2340" w:type="dxa"/>
          </w:tcPr>
          <w:p>
            <w:pPr/>
            <w:r>
              <w:t xml:space="preserve">Conversa, material sob NDA, piloto, contrato de licença</w:t>
            </w:r>
          </w:p>
        </w:tc>
        <w:tc>
          <w:tcPr>
            <w:tcW w:w="2340" w:type="dxa"/>
          </w:tcPr>
          <w:p>
            <w:pPr/>
            <w:r>
              <w:t xml:space="preserve">Reunião, minuta com matriz de responsabilidades, ativação</w:t>
            </w:r>
          </w:p>
        </w:tc>
        <w:tc>
          <w:tcPr>
            <w:tcW w:w="2340" w:type="dxa"/>
          </w:tcPr>
          <w:p>
            <w:pPr/>
            <w:r>
              <w:t xml:space="preserve">Cronograma de autorização, campanha-teste, campanha principal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Chamada direta</w:t>
            </w:r>
          </w:p>
        </w:tc>
        <w:tc>
          <w:tcPr>
            <w:tcW w:w="2340" w:type="dxa"/>
          </w:tcPr>
          <w:p>
            <w:pPr/>
            <w:r>
              <w:t xml:space="preserve">"Entrar na lista de licenciados"</w:t>
            </w:r>
          </w:p>
        </w:tc>
        <w:tc>
          <w:tcPr>
            <w:tcW w:w="2340" w:type="dxa"/>
          </w:tcPr>
          <w:p>
            <w:pPr/>
            <w:r>
              <w:t xml:space="preserve">"Pedir o resumo da operação"</w:t>
            </w:r>
          </w:p>
        </w:tc>
        <w:tc>
          <w:tcPr>
            <w:tcW w:w="2340" w:type="dxa"/>
          </w:tcPr>
          <w:p>
            <w:pPr/>
            <w:r>
              <w:t xml:space="preserve">"Pedir uma campanha-teste"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Chamada transitória</w:t>
            </w:r>
          </w:p>
        </w:tc>
        <w:tc>
          <w:tcPr>
            <w:tcW w:w="2340" w:type="dxa"/>
          </w:tcPr>
          <w:p>
            <w:pPr/>
            <w:r>
              <w:t xml:space="preserve">"Ver o que está incluído na licença"</w:t>
            </w:r>
          </w:p>
        </w:tc>
        <w:tc>
          <w:tcPr>
            <w:tcW w:w="2340" w:type="dxa"/>
          </w:tcPr>
          <w:p>
            <w:pPr/>
            <w:r>
              <w:t xml:space="preserve">"Ver como funciona a parceria"</w:t>
            </w:r>
          </w:p>
        </w:tc>
        <w:tc>
          <w:tcPr>
            <w:tcW w:w="2340" w:type="dxa"/>
          </w:tcPr>
          <w:p>
            <w:pPr/>
            <w:r>
              <w:t xml:space="preserve">"Ver o cronograma de autorização"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Fracasso</w:t>
            </w:r>
          </w:p>
        </w:tc>
        <w:tc>
          <w:tcPr>
            <w:tcW w:w="2340" w:type="dxa"/>
          </w:tcPr>
          <w:p>
            <w:pPr/>
            <w:r>
              <w:t xml:space="preserve">Mais um ano vendendo crédito alheio por comissão</w:t>
            </w:r>
          </w:p>
        </w:tc>
        <w:tc>
          <w:tcPr>
            <w:tcW w:w="2340" w:type="dxa"/>
          </w:tcPr>
          <w:p>
            <w:pPr/>
            <w:r>
              <w:t xml:space="preserve">Meta de receita acessória não batida; base parada</w:t>
            </w:r>
          </w:p>
        </w:tc>
        <w:tc>
          <w:tcPr>
            <w:tcW w:w="2340" w:type="dxa"/>
          </w:tcPr>
          <w:p>
            <w:pPr/>
            <w:r>
              <w:t xml:space="preserve">Campanha atrasada ou igual à do concorrente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Sucesso</w:t>
            </w:r>
          </w:p>
        </w:tc>
        <w:tc>
          <w:tcPr>
            <w:tcW w:w="2340" w:type="dxa"/>
          </w:tcPr>
          <w:p>
            <w:pPr/>
            <w:r>
              <w:t xml:space="preserve">Negócio com a marca na porta, software por trás e piloto antes de assinar</w:t>
            </w:r>
          </w:p>
        </w:tc>
        <w:tc>
          <w:tcPr>
            <w:tcW w:w="2340" w:type="dxa"/>
          </w:tcPr>
          <w:p>
            <w:pPr/>
            <w:r>
              <w:t xml:space="preserve">Receita nova sem investimento e sem exposição da marca</w:t>
            </w:r>
          </w:p>
        </w:tc>
        <w:tc>
          <w:tcPr>
            <w:tcW w:w="2340" w:type="dxa"/>
          </w:tcPr>
          <w:p>
            <w:pPr/>
            <w:r>
              <w:t xml:space="preserve">Campanha autorizada no prazo que vira case</w:t>
            </w:r>
          </w:p>
        </w:tc>
      </w:tr>
    </w:tbl>
    <w:p>
      <w:pPr>
        <w:pStyle w:val="Heading2"/>
      </w:pPr>
      <w:r>
        <w:t xml:space="preserve">Wireframe StoryBrand do site</w:t>
      </w:r>
    </w:p>
    <w:p>
      <w:pPr/>
      <w:r>
        <w:t xml:space="preserve">A home segue a ordem do método. Cada seção tem um trabalho; o texto abaixo é o que vai para a página.</w:t>
      </w:r>
    </w:p>
    <w:tbl>
      <w:tblPr>
        <w:tblStyle w:val="TableGrid"/>
        <w:tblW w:w="0" w:type="auto"/>
        <w:tblLayout w:type="fixed"/>
        <w:tblLook w:val="04A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W w:w="2340" w:type="dxa"/>
            <w:shd w:val="clear" w:color="auto" w:fill="F2F2F2"/>
          </w:tcPr>
          <w:p>
            <w:pPr/>
            <w:r>
              <w:t xml:space="preserve">#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Seção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Trabalho</w:t>
            </w:r>
          </w:p>
        </w:tc>
        <w:tc>
          <w:tcPr>
            <w:tcW w:w="2340" w:type="dxa"/>
            <w:shd w:val="clear" w:color="auto" w:fill="F2F2F2"/>
          </w:tcPr>
          <w:p>
            <w:pPr/>
            <w:r>
              <w:t xml:space="preserve">Texto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</w:t>
            </w:r>
          </w:p>
        </w:tc>
        <w:tc>
          <w:tcPr>
            <w:tcW w:w="2340" w:type="dxa"/>
          </w:tcPr>
          <w:p>
            <w:pPr/>
            <w:r>
              <w:t xml:space="preserve">Cabeçalho (header)</w:t>
            </w:r>
          </w:p>
        </w:tc>
        <w:tc>
          <w:tcPr>
            <w:tcW w:w="2340" w:type="dxa"/>
          </w:tcPr>
          <w:p>
            <w:pPr/>
            <w:r>
              <w:t xml:space="preserve">Passar no "teste do grunhido": o que oferece, como melhora a vida, como comprar, em 5 segundos</w:t>
            </w:r>
          </w:p>
        </w:tc>
        <w:tc>
          <w:tcPr>
            <w:tcW w:w="2340" w:type="dxa"/>
          </w:tcPr>
          <w:p>
            <w:pPr/>
            <w:r>
              <w:t xml:space="preserve">Título: </w:t>
            </w:r>
            <w:r>
              <w:rPr>
                <w:b/>
              </w:rPr>
              <w:t xml:space="preserve">Entre em negócios financeiros no Brasil sem passar anos construindo.</w:t>
            </w:r>
            <w:r>
              <w:t xml:space="preserve"> Subtítulo: Sete projetos prontos para operar, com propriedade intelectual registrada, software próprio e o time que os construiu. Botão direto: Solicitar o Sumário Executivo. Botão transitório: Ver os sete projetos.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2</w:t>
            </w:r>
          </w:p>
        </w:tc>
        <w:tc>
          <w:tcPr>
            <w:tcW w:w="2340" w:type="dxa"/>
          </w:tcPr>
          <w:p>
            <w:pPr/>
            <w:r>
              <w:t xml:space="preserve">O que está em jogo (stakes)</w:t>
            </w:r>
          </w:p>
        </w:tc>
        <w:tc>
          <w:tcPr>
            <w:tcW w:w="2340" w:type="dxa"/>
          </w:tcPr>
          <w:p>
            <w:pPr/>
            <w:r>
              <w:t xml:space="preserve">Nomear o vilão e o custo de não agir</w:t>
            </w:r>
          </w:p>
        </w:tc>
        <w:tc>
          <w:tcPr>
            <w:tcW w:w="2340" w:type="dxa"/>
          </w:tcPr>
          <w:p>
            <w:pPr/>
            <w:r>
              <w:rPr>
                <w:b/>
              </w:rPr>
              <w:t xml:space="preserve">Construir do zero custa o que você não tem: tempo.</w:t>
            </w:r>
            <w:r>
              <w:t xml:space="preserve"> Autorizações, equipe local, regulação que muda. Enquanto isso, o câmbio favorável passa e a oportunidade vai para quem já está operando.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3</w:t>
            </w:r>
          </w:p>
        </w:tc>
        <w:tc>
          <w:tcPr>
            <w:tcW w:w="2340" w:type="dxa"/>
          </w:tcPr>
          <w:p>
            <w:pPr/>
            <w:r>
              <w:t xml:space="preserve">Proposta de valor</w:t>
            </w:r>
          </w:p>
        </w:tc>
        <w:tc>
          <w:tcPr>
            <w:tcW w:w="2340" w:type="dxa"/>
          </w:tcPr>
          <w:p>
            <w:pPr/>
            <w:r>
              <w:t xml:space="preserve">Três benefícios, em linguagem do herói</w:t>
            </w:r>
          </w:p>
        </w:tc>
        <w:tc>
          <w:tcPr>
            <w:tcW w:w="2340" w:type="dxa"/>
          </w:tcPr>
          <w:p>
            <w:pPr/>
            <w:r>
              <w:rPr>
                <w:b/>
              </w:rPr>
              <w:t xml:space="preserve">Pronto</w:t>
            </w:r>
            <w:r>
              <w:t xml:space="preserve">: marca, software e modelo já existem. </w:t>
            </w:r>
            <w:r>
              <w:rPr>
                <w:b/>
              </w:rPr>
              <w:t xml:space="preserve">Próprio</w:t>
            </w:r>
            <w:r>
              <w:t xml:space="preserve">: nada é revenda de terceiros. </w:t>
            </w:r>
            <w:r>
              <w:rPr>
                <w:b/>
              </w:rPr>
              <w:t xml:space="preserve">Ponte</w:t>
            </w:r>
            <w:r>
              <w:t xml:space="preserve">: a Piraju conecta seu capital à infraestrutura brasileira e assume a interlocução regulatória.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4</w:t>
            </w:r>
          </w:p>
        </w:tc>
        <w:tc>
          <w:tcPr>
            <w:tcW w:w="2340" w:type="dxa"/>
          </w:tcPr>
          <w:p>
            <w:pPr/>
            <w:r>
              <w:t xml:space="preserve">O guia</w:t>
            </w:r>
          </w:p>
        </w:tc>
        <w:tc>
          <w:tcPr>
            <w:tcW w:w="2340" w:type="dxa"/>
          </w:tcPr>
          <w:p>
            <w:pPr/>
            <w:r>
              <w:t xml:space="preserve">Empatia e autoridade</w:t>
            </w:r>
          </w:p>
        </w:tc>
        <w:tc>
          <w:tcPr>
            <w:tcW w:w="2340" w:type="dxa"/>
          </w:tcPr>
          <w:p>
            <w:pPr/>
            <w:r>
              <w:t xml:space="preserve">"Sabemos que a pergunta não é se o Brasil vale a pena, mas quem opera, como se sai e o que a lei permite." 40 anos de P&amp;D; sete projetos registrados; assessoria jurídica validada; laudos de viabilidade; projetos testados no mercado nacional.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5</w:t>
            </w:r>
          </w:p>
        </w:tc>
        <w:tc>
          <w:tcPr>
            <w:tcW w:w="2340" w:type="dxa"/>
          </w:tcPr>
          <w:p>
            <w:pPr/>
            <w:r>
              <w:t xml:space="preserve">O plano</w:t>
            </w:r>
          </w:p>
        </w:tc>
        <w:tc>
          <w:tcPr>
            <w:tcW w:w="2340" w:type="dxa"/>
          </w:tcPr>
          <w:p>
            <w:pPr/>
            <w:r>
              <w:t xml:space="preserve">Três passos</w:t>
            </w:r>
          </w:p>
        </w:tc>
        <w:tc>
          <w:tcPr>
            <w:tcW w:w="2340" w:type="dxa"/>
          </w:tcPr>
          <w:p>
            <w:pPr/>
            <w:r>
              <w:t xml:space="preserve">1. Receba o Sumário Executivo. 2. Assine o NDA e analise o detalhamento. 3. Escolha o projeto e entre com registro no Banco Central.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6</w:t>
            </w:r>
          </w:p>
        </w:tc>
        <w:tc>
          <w:tcPr>
            <w:tcW w:w="2340" w:type="dxa"/>
          </w:tcPr>
          <w:p>
            <w:pPr/>
            <w:r>
              <w:t xml:space="preserve">Para quem</w:t>
            </w:r>
          </w:p>
        </w:tc>
        <w:tc>
          <w:tcPr>
            <w:tcW w:w="2340" w:type="dxa"/>
          </w:tcPr>
          <w:p>
            <w:pPr/>
            <w:r>
              <w:t xml:space="preserve">Os quatro heróis, cada um com sua chamada</w:t>
            </w:r>
          </w:p>
        </w:tc>
        <w:tc>
          <w:tcPr>
            <w:tcW w:w="2340" w:type="dxa"/>
          </w:tcPr>
          <w:p>
            <w:pPr/>
            <w:r>
              <w:t xml:space="preserve">Investidor, licenciado, parceiro de distribuição, patrocinador: uma frase e um botão cada, levando à página correspondente.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7</w:t>
            </w:r>
          </w:p>
        </w:tc>
        <w:tc>
          <w:tcPr>
            <w:tcW w:w="2340" w:type="dxa"/>
          </w:tcPr>
          <w:p>
            <w:pPr/>
            <w:r>
              <w:t xml:space="preserve">Sucesso</w:t>
            </w:r>
          </w:p>
        </w:tc>
        <w:tc>
          <w:tcPr>
            <w:tcW w:w="2340" w:type="dxa"/>
          </w:tcPr>
          <w:p>
            <w:pPr/>
            <w:r>
              <w:t xml:space="preserve">A imagem do depois</w:t>
            </w:r>
          </w:p>
        </w:tc>
        <w:tc>
          <w:tcPr>
            <w:tcW w:w="2340" w:type="dxa"/>
          </w:tcPr>
          <w:p>
            <w:pPr/>
            <w:r>
              <w:rPr>
                <w:b/>
              </w:rPr>
              <w:t xml:space="preserve">Um negócio operando no Brasil, em seu nome, em meses.</w:t>
            </w:r>
            <w:r>
              <w:t xml:space="preserve"> Registrado no Banco Central, operado pelo time que o construiu, com uma tese que o seu comitê entende.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8</w:t>
            </w:r>
          </w:p>
        </w:tc>
        <w:tc>
          <w:tcPr>
            <w:tcW w:w="2340" w:type="dxa"/>
          </w:tcPr>
          <w:p>
            <w:pPr/>
            <w:r>
              <w:t xml:space="preserve">Parágrafo explicativo</w:t>
            </w:r>
          </w:p>
        </w:tc>
        <w:tc>
          <w:tcPr>
            <w:tcW w:w="2340" w:type="dxa"/>
          </w:tcPr>
          <w:p>
            <w:pPr/>
            <w:r>
              <w:t xml:space="preserve">O texto longo para quem quer ler (e para busca)</w:t>
            </w:r>
          </w:p>
        </w:tc>
        <w:tc>
          <w:tcPr>
            <w:tcW w:w="2340" w:type="dxa"/>
          </w:tcPr>
          <w:p>
            <w:pPr/>
            <w:r>
              <w:t xml:space="preserve">A síntese da holding: empresa brasileira de base tecnológica e inteligência de mercado, em conformidade com o BCB; sete projetos; patrimônio imaterial; princípios.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9</w:t>
            </w:r>
          </w:p>
        </w:tc>
        <w:tc>
          <w:tcPr>
            <w:tcW w:w="2340" w:type="dxa"/>
          </w:tcPr>
          <w:p>
            <w:pPr/>
            <w:r>
              <w:t xml:space="preserve">Chamada final</w:t>
            </w:r>
          </w:p>
        </w:tc>
        <w:tc>
          <w:tcPr>
            <w:tcW w:w="2340" w:type="dxa"/>
          </w:tcPr>
          <w:p>
            <w:pPr/>
            <w:r>
              <w:t xml:space="preserve">Repetir a chamada direta</w:t>
            </w:r>
          </w:p>
        </w:tc>
        <w:tc>
          <w:tcPr>
            <w:tcW w:w="2340" w:type="dxa"/>
          </w:tcPr>
          <w:p>
            <w:pPr/>
            <w:r>
              <w:t xml:space="preserve">Solicitar o Sumário Executivo / Agendar reunião.</w:t>
            </w:r>
          </w:p>
        </w:tc>
      </w:tr>
      <w:tr>
        <w:tc>
          <w:tcPr>
            <w:tcW w:w="2340" w:type="dxa"/>
          </w:tcPr>
          <w:p>
            <w:pPr/>
            <w:r>
              <w:t xml:space="preserve">10</w:t>
            </w:r>
          </w:p>
        </w:tc>
        <w:tc>
          <w:tcPr>
            <w:tcW w:w="2340" w:type="dxa"/>
          </w:tcPr>
          <w:p>
            <w:pPr/>
            <w:r>
              <w:t xml:space="preserve">Rodapé (junk drawer)</w:t>
            </w:r>
          </w:p>
        </w:tc>
        <w:tc>
          <w:tcPr>
            <w:tcW w:w="2340" w:type="dxa"/>
          </w:tcPr>
          <w:p>
            <w:pPr/>
            <w:r>
              <w:t xml:space="preserve">Tudo o que não cabe acima</w:t>
            </w:r>
          </w:p>
        </w:tc>
        <w:tc>
          <w:tcPr>
            <w:tcW w:w="2340" w:type="dxa"/>
          </w:tcPr>
          <w:p>
            <w:pPr/>
            <w:r>
              <w:t xml:space="preserve">Contato, CNPJ, links das páginas, NDA.</w:t>
            </w:r>
          </w:p>
        </w:tc>
      </w:tr>
    </w:tbl>
    <w:p>
      <w:pPr/>
      <w:r>
        <w:t xml:space="preserve">As páginas internas mantêm a estrutura atual e ganham o mesmo padrão de abertura: título com o problema do herói, subtítulo com a solução, chamada direta e transitória, e a seção de sucesso antes do rodapé. A chamada direta aparece no cabeçalho de todas as páginas, sempre com o mesmo texto.</w:t>
      </w:r>
    </w:p>
    <w:p>
      <w:pPr>
        <w:pStyle w:val="Heading2"/>
      </w:pPr>
      <w:r>
        <w:t xml:space="preserve">Regras de linguagem</w:t>
      </w:r>
    </w:p>
    <w:p>
      <w:pPr/>
      <w:r>
        <w:t xml:space="preserve">O tom sereno e institucional do design system continua. O que muda é o sujeito das frases: elas passam a falar do herói e do problema dele, não da Piraju. "A Piraju apresenta uma oportunidade" vira "Entre em negócios financeiros no Brasil sem passar anos construindo". A marca aparece como guia, na segunda pessoa do plural ("sabemos", "entregamos"), nunca como protagonista.</w:t>
      </w:r>
    </w:p>
    <w:p>
      <w:pPr>
        <w:pStyle w:val="ListParagraph"/>
        <w:numPr>
          <w:ilvl w:val="0"/>
          <w:numId w:val="6"/>
        </w:numPr>
      </w:pPr>
      <w:r>
        <w:t xml:space="preserve">Cada página tem uma chamada direta, sempre com o mesmo texto, e uma transitória. Nunca mais de duas.</w:t>
      </w:r>
    </w:p>
    <w:p>
      <w:pPr>
        <w:pStyle w:val="ListParagraph"/>
        <w:numPr>
          <w:ilvl w:val="0"/>
          <w:numId w:val="6"/>
        </w:numPr>
      </w:pPr>
      <w:r>
        <w:t xml:space="preserve">O vilão é sempre o tempo e a incerteza de construir do zero, nunca um concorrente nomeado.</w:t>
      </w:r>
    </w:p>
    <w:p>
      <w:pPr>
        <w:pStyle w:val="ListParagraph"/>
        <w:numPr>
          <w:ilvl w:val="0"/>
          <w:numId w:val="6"/>
        </w:numPr>
      </w:pPr>
      <w:r>
        <w:t xml:space="preserve">O que está em jogo é dito uma vez, com sobriedade, e seguido imediatamente pela solução. Sem alarmismo.</w:t>
      </w:r>
    </w:p>
    <w:p>
      <w:pPr>
        <w:pStyle w:val="ListParagraph"/>
        <w:numPr>
          <w:ilvl w:val="0"/>
          <w:numId w:val="6"/>
        </w:numPr>
      </w:pPr>
      <w:r>
        <w:t xml:space="preserve">Autoridade é demonstrada com fatos dos documentos da Piraju, não com adjetivos: 40 anos, sete projetos, registros, laudos, escritórios de advocacia.</w:t>
      </w:r>
    </w:p>
    <w:p>
      <w:pPr>
        <w:pStyle w:val="ListParagraph"/>
        <w:numPr>
          <w:ilvl w:val="0"/>
          <w:numId w:val="6"/>
        </w:numPr>
      </w:pPr>
      <w:r>
        <w:t xml:space="preserve">Continua valendo o que não se promete: retorno, proteção patrimonial, autorização garantida ou taxa de câmbio. O acordo do plano deixa isso explícito, o que, no StoryBrand, também é parte da autoridade do guia.</w:t>
      </w:r>
    </w:p>
    <w:p>
      <w:pPr>
        <w:pStyle w:val="ListParagraph"/>
        <w:numPr>
          <w:ilvl w:val="0"/>
          <w:numId w:val="6"/>
        </w:numPr>
      </w:pPr>
      <w:r>
        <w:t xml:space="preserve">Dados pessoais dos sócios e dados bancários ficam fora de qualquer material; logos de projetos não aparecem.</w:t>
      </w:r>
    </w:p>
    <w:p>
      <w:pPr>
        <w:pStyle w:val="ListParagraph"/>
        <w:numPr>
          <w:ilvl w:val="0"/>
          <w:numId w:val="6"/>
        </w:numPr>
      </w:pPr>
      <w:r>
        <w:t xml:space="preserve">Rotulos em maiúsculas, títulos em Title Case e o "&amp;" em Times New Roman seguem o design system.</w:t>
      </w:r>
    </w:p>
    <w:p>
      <w:pPr>
        <w:pStyle w:val="Heading2"/>
      </w:pPr>
      <w:r>
        <w:t xml:space="preserve">Ponto de revisão e fontes</w:t>
      </w:r>
    </w:p>
    <w:p>
      <w:pPr/>
      <w:r>
        <w:t xml:space="preserve">O site será adaptado a este roteiro logo em seguida: a home ganha a estrutura do wireframe acima, e as páginas internas, o padrão de abertura e a seção de sucesso. Confira antes de divulgar:</w:t>
      </w:r>
    </w:p>
    <w:p>
      <w:pPr>
        <w:pStyle w:val="ListParagraph"/>
        <w:numPr>
          <w:ilvl w:val="0"/>
          <w:numId w:val="7"/>
        </w:numPr>
      </w:pPr>
      <w:r>
        <w:t xml:space="preserve">☐ O one-liner principal e a assinatura curta representam a Piraju como você quer.</w:t>
      </w:r>
    </w:p>
    <w:p>
      <w:pPr>
        <w:pStyle w:val="ListParagraph"/>
        <w:numPr>
          <w:ilvl w:val="0"/>
          <w:numId w:val="7"/>
        </w:numPr>
      </w:pPr>
      <w:r>
        <w:t xml:space="preserve">☐ A chamada direta é "Solicitar o Sumário Executivo" (alternativa: "Agendar reunião de apresentação").</w:t>
      </w:r>
    </w:p>
    <w:p>
      <w:pPr>
        <w:pStyle w:val="ListParagraph"/>
        <w:numPr>
          <w:ilvl w:val="0"/>
          <w:numId w:val="7"/>
        </w:numPr>
      </w:pPr>
      <w:r>
        <w:t xml:space="preserve">☐ O investidor continua como herói principal da home; os outros três aparecem na seção "Para quem".</w:t>
      </w:r>
    </w:p>
    <w:p>
      <w:pPr/>
      <w:r>
        <w:rPr>
          <w:b/>
        </w:rPr>
        <w:t xml:space="preserve">Fontes.</w:t>
      </w:r>
      <w:r>
        <w:t xml:space="preserve"> Donald Miller, </w:t>
      </w:r>
      <w:r>
        <w:rPr>
          <w:i/>
        </w:rPr>
        <w:t xml:space="preserve">Building a StoryBrand</w:t>
      </w:r>
      <w:r>
        <w:t xml:space="preserve"> (2017), para o roteiro de sete partes, o one-liner e o wireframe de site. Pesquisa de Mercado Piraju, Rodadas 4 e 5 (personas, JTBD, proposta de valor e provas por persona). Documentos da Piraju: carta de apresentação a fundos (17/09/2026), proposta comercial de câmbio e Sumário Executivo.</w:t>
      </w:r>
    </w:p>
    <w:sectPr>
      <w:pgSz w:w="12240" w:h="15840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styleId="Code">
    <w:name w:val="Code"/>
    <w:basedOn w:val="Normal"/>
    <w:link w:val="CodeChar"/>
    <w:pPr>
      <w:spacing w:after="0" w:line="240" w:lineRule="auto"/>
      <w:contextualSpacing/>
      <w:shd w:val="clear" w:color="auto" w:fill="F5F5F5"/>
    </w:pPr>
    <w:rPr>
      <w:rFonts w:ascii="Consolas" w:hAnsi="Consolas" w:eastAsia="Consolas" w:cs="Consolas"/>
      <w:sz w:val="20"/>
    </w:rPr>
  </w:style>
  <w:style w:type="character" w:styleId="CodeChar">
    <w:name w:val="Code Char"/>
    <w:link w:val="Code"/>
    <w:rPr>
      <w:rFonts w:ascii="Consolas" w:hAnsi="Consolas" w:eastAsia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link w:val="CommentTextChar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hyperlink" Target="index.html" TargetMode="External"/></Relationships>
</file>

<file path=docProps/app.xml><?xml version="1.0" encoding="utf-8"?>
<Properties xmlns="http://schemas.openxmlformats.org/officeDocument/2006/extended-properties">
  <Application>Claude Docs</Application>
  <AppVersion>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BrandScript Piraju · StoryBrand</dc:title>
  <dc:description>Claude Docs node/68ab5d6f-a5ab@9 docx-w6</dc:description>
  <cp:revision>9</cp:revision>
</cp:coreProperties>
</file>